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00" w:lineRule="exact"/>
        <w:jc w:val="center"/>
        <w:rPr>
          <w:rFonts w:ascii="方正小标宋简体" w:hAnsi="方正小标宋简体" w:eastAsia="方正小标宋简体" w:cs="方正小标宋简体"/>
          <w:sz w:val="44"/>
          <w:szCs w:val="44"/>
        </w:rPr>
      </w:pPr>
    </w:p>
    <w:p>
      <w:pPr>
        <w:pStyle w:val="4"/>
        <w:widowControl/>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岢岚县自然资源局</w:t>
      </w:r>
    </w:p>
    <w:p>
      <w:pPr>
        <w:pStyle w:val="4"/>
        <w:widowControl/>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2022年度政府信息公开年度报告</w:t>
      </w:r>
    </w:p>
    <w:p>
      <w:pPr>
        <w:pStyle w:val="4"/>
        <w:widowControl/>
        <w:spacing w:line="20" w:lineRule="atLeast"/>
        <w:jc w:val="center"/>
        <w:rPr>
          <w:rFonts w:asciiTheme="majorEastAsia" w:hAnsiTheme="majorEastAsia" w:eastAsiaTheme="majorEastAsia" w:cstheme="majorEastAsia"/>
          <w:b/>
          <w:bCs/>
          <w:sz w:val="44"/>
          <w:szCs w:val="44"/>
        </w:rPr>
      </w:pPr>
    </w:p>
    <w:p>
      <w:pPr>
        <w:widowControl/>
        <w:shd w:val="clear" w:color="auto" w:fill="FFFFFF"/>
        <w:wordWrap w:val="0"/>
        <w:spacing w:line="600" w:lineRule="atLeast"/>
        <w:ind w:firstLine="645"/>
        <w:rPr>
          <w:rFonts w:ascii="仿宋" w:hAnsi="仿宋" w:eastAsia="仿宋" w:cs="仿宋"/>
          <w:kern w:val="0"/>
          <w:sz w:val="30"/>
          <w:szCs w:val="30"/>
          <w:shd w:val="clear" w:color="auto" w:fill="FFFFFF"/>
        </w:rPr>
      </w:pPr>
      <w:r>
        <w:rPr>
          <w:rFonts w:hint="eastAsia" w:ascii="仿宋" w:hAnsi="仿宋" w:eastAsia="仿宋" w:cs="仿宋"/>
          <w:sz w:val="32"/>
          <w:szCs w:val="32"/>
        </w:rPr>
        <w:t>根据国务院办公厅政府信息与政务公开办公室关于印发《中华人民共和国政府信息公开工作年度报告格式》的通知（国办公开办函〔2021〕30号）和忻州市人民政府办公室《关于切实做好政府信息公开工作年报的督办通知》要求，编制岢岚县自然资源局2022年度政府信息公开年度报告。本报告所列数据统计期限自2022年1月1日起至2022年12月31日止。</w:t>
      </w:r>
      <w:r>
        <w:rPr>
          <w:rFonts w:hint="eastAsia" w:ascii="仿宋" w:hAnsi="仿宋" w:eastAsia="仿宋" w:cs="仿宋"/>
          <w:kern w:val="0"/>
          <w:sz w:val="30"/>
          <w:szCs w:val="30"/>
          <w:shd w:val="clear" w:color="auto" w:fill="FFFFFF"/>
        </w:rPr>
        <w:t>现将我单位2022年度政府信息公开工作报告如下:</w:t>
      </w:r>
    </w:p>
    <w:p>
      <w:pPr>
        <w:pStyle w:val="4"/>
        <w:widowControl/>
        <w:spacing w:line="20" w:lineRule="atLeast"/>
        <w:rPr>
          <w:rFonts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一、总体情况</w:t>
      </w:r>
    </w:p>
    <w:p>
      <w:pPr>
        <w:pStyle w:val="4"/>
        <w:widowControl/>
        <w:spacing w:line="20" w:lineRule="atLeast"/>
        <w:rPr>
          <w:rFonts w:ascii="仿宋" w:hAnsi="仿宋" w:eastAsia="仿宋" w:cs="仿宋"/>
          <w:sz w:val="32"/>
          <w:szCs w:val="32"/>
        </w:rPr>
      </w:pPr>
      <w:r>
        <w:rPr>
          <w:rFonts w:hint="eastAsia" w:ascii="仿宋" w:hAnsi="仿宋" w:eastAsia="仿宋" w:cs="仿宋"/>
          <w:sz w:val="32"/>
          <w:szCs w:val="32"/>
        </w:rPr>
        <w:t>　　2022年，岢岚县自然资源局贯彻落实《忻州市人民政府办公室关于印发忻州市2022年政务公开工作实施方案的通知》（忻政办发〔2022〕31号）文件部署和《岢岚县人民政府办公室关于印发岢岚县2022年政务公开工作实施方案的通知》（岢政办发〔2022〕34号）文件要求，切实推进政府信息公开工作规范发展。进一步健全政府信息公开机制，提升政府信息公开质量，深化重点领域信息公开，为优化营商环境，加快我县乡（镇）乡村振兴、经济发展、群众安居、生态建设等方面发挥了积极作用。</w:t>
      </w:r>
    </w:p>
    <w:p>
      <w:pPr>
        <w:pStyle w:val="4"/>
        <w:widowControl/>
        <w:spacing w:line="20" w:lineRule="atLeast"/>
        <w:ind w:firstLine="602" w:firstLineChars="200"/>
        <w:rPr>
          <w:rFonts w:ascii="仿宋" w:hAnsi="仿宋" w:eastAsia="仿宋" w:cs="仿宋"/>
          <w:b/>
          <w:bCs/>
          <w:sz w:val="30"/>
          <w:szCs w:val="30"/>
        </w:rPr>
      </w:pPr>
      <w:r>
        <w:rPr>
          <w:rFonts w:hint="eastAsia" w:ascii="仿宋" w:hAnsi="仿宋" w:eastAsia="仿宋" w:cs="仿宋"/>
          <w:b/>
          <w:bCs/>
          <w:sz w:val="30"/>
          <w:szCs w:val="30"/>
        </w:rPr>
        <w:t>（一）政府信息公开制度完成情况</w:t>
      </w:r>
    </w:p>
    <w:p>
      <w:pPr>
        <w:pStyle w:val="4"/>
        <w:widowControl/>
        <w:spacing w:line="20" w:lineRule="atLeast"/>
        <w:ind w:firstLine="600" w:firstLineChars="200"/>
        <w:rPr>
          <w:rFonts w:ascii="仿宋" w:hAnsi="仿宋" w:eastAsia="仿宋" w:cs="仿宋"/>
          <w:sz w:val="30"/>
          <w:szCs w:val="30"/>
        </w:rPr>
      </w:pPr>
      <w:r>
        <w:rPr>
          <w:rFonts w:hint="eastAsia" w:ascii="仿宋" w:hAnsi="仿宋" w:eastAsia="仿宋" w:cs="仿宋"/>
          <w:sz w:val="30"/>
          <w:szCs w:val="30"/>
          <w:lang w:eastAsia="zh-CN"/>
        </w:rPr>
        <w:t>岢岚县</w:t>
      </w:r>
      <w:r>
        <w:rPr>
          <w:rFonts w:hint="eastAsia" w:ascii="仿宋" w:hAnsi="仿宋" w:eastAsia="仿宋" w:cs="仿宋"/>
          <w:sz w:val="30"/>
          <w:szCs w:val="30"/>
        </w:rPr>
        <w:t>自然资源局建立健全政府信息主动公开工作机制和政府信息公开申请受理机制，规范和完善工作流程，明确责任、程序、公开方式和时限要求，理清申请受理、审查、处理、答复等各个环节，严格落实一次性告知制度、首问负责制、限时办结制、责任追究制等制度，认真抓好政府信息公开协调、考核、追责机制建设。在岢岚县自然资源局政务服务大厅公开，确保政府信息公开工作顺利、平稳、有序开展。在日常工作中，坚持把关系国计民生、社会救助等涉及到人民群众切身利益的信息作为公开的重点，依照上级有关要求全面、及时地公开、更新信息。</w:t>
      </w:r>
    </w:p>
    <w:p>
      <w:pPr>
        <w:pStyle w:val="4"/>
        <w:widowControl/>
        <w:spacing w:line="20" w:lineRule="atLeast"/>
        <w:ind w:firstLine="602" w:firstLineChars="200"/>
        <w:rPr>
          <w:rFonts w:ascii="仿宋" w:hAnsi="仿宋" w:eastAsia="仿宋" w:cs="仿宋"/>
          <w:b/>
          <w:bCs/>
          <w:sz w:val="30"/>
          <w:szCs w:val="30"/>
        </w:rPr>
      </w:pPr>
      <w:r>
        <w:rPr>
          <w:rFonts w:hint="eastAsia" w:ascii="仿宋" w:hAnsi="仿宋" w:eastAsia="仿宋" w:cs="仿宋"/>
          <w:b/>
          <w:bCs/>
          <w:sz w:val="30"/>
          <w:szCs w:val="30"/>
        </w:rPr>
        <w:t>（二）政府信息公开目录、公开指南的编制、更新情况</w:t>
      </w:r>
    </w:p>
    <w:p>
      <w:pPr>
        <w:pStyle w:val="4"/>
        <w:widowControl/>
        <w:spacing w:line="20" w:lineRule="atLeast"/>
        <w:ind w:firstLine="600" w:firstLineChars="200"/>
        <w:rPr>
          <w:rFonts w:ascii="仿宋" w:hAnsi="仿宋" w:eastAsia="仿宋" w:cs="仿宋"/>
          <w:sz w:val="30"/>
          <w:szCs w:val="30"/>
        </w:rPr>
      </w:pPr>
      <w:r>
        <w:rPr>
          <w:rFonts w:hint="eastAsia" w:ascii="仿宋" w:hAnsi="仿宋" w:eastAsia="仿宋" w:cs="仿宋"/>
          <w:sz w:val="30"/>
          <w:szCs w:val="30"/>
        </w:rPr>
        <w:t>政府信息公开目录和指南是政府信息公开的基础，是做好政府信息公开工作，方便群众依法获取政府信息公开的关键。我单位及时向县政府办报送</w:t>
      </w:r>
      <w:r>
        <w:rPr>
          <w:rFonts w:hint="eastAsia" w:ascii="仿宋" w:hAnsi="仿宋" w:eastAsia="仿宋" w:cs="仿宋"/>
          <w:sz w:val="32"/>
          <w:szCs w:val="32"/>
        </w:rPr>
        <w:t>责任范围内</w:t>
      </w:r>
      <w:r>
        <w:rPr>
          <w:rFonts w:hint="eastAsia" w:ascii="仿宋" w:hAnsi="仿宋" w:eastAsia="仿宋" w:cs="仿宋"/>
          <w:sz w:val="30"/>
          <w:szCs w:val="30"/>
        </w:rPr>
        <w:t>相关信息，并通过县政府门户网站</w:t>
      </w:r>
      <w:r>
        <w:rPr>
          <w:rFonts w:hint="eastAsia" w:ascii="仿宋" w:hAnsi="仿宋" w:eastAsia="仿宋" w:cs="仿宋"/>
          <w:sz w:val="32"/>
          <w:szCs w:val="32"/>
        </w:rPr>
        <w:t>及时更新，保障群众通过网络平台获取信息的权力。</w:t>
      </w:r>
    </w:p>
    <w:p>
      <w:pPr>
        <w:pStyle w:val="4"/>
        <w:widowControl/>
        <w:spacing w:line="20" w:lineRule="atLeast"/>
        <w:rPr>
          <w:rFonts w:ascii="仿宋" w:hAnsi="仿宋" w:eastAsia="仿宋" w:cs="仿宋"/>
          <w:sz w:val="32"/>
          <w:szCs w:val="32"/>
        </w:rPr>
      </w:pPr>
      <w:r>
        <w:rPr>
          <w:rFonts w:hint="eastAsia" w:ascii="仿宋" w:hAnsi="仿宋" w:eastAsia="仿宋" w:cs="仿宋"/>
          <w:sz w:val="30"/>
          <w:szCs w:val="30"/>
        </w:rPr>
        <w:t>同时，我单位对涉及人民群众切身利益的政府信息进行进一步梳理，及时认领事项目录清单，规范化更新了原编制的政府信息公开目录和指南，使人民群众更好的行使参与权、监督权和知情权。</w:t>
      </w:r>
      <w:r>
        <w:rPr>
          <w:rFonts w:hint="eastAsia" w:ascii="仿宋" w:hAnsi="仿宋" w:eastAsia="仿宋" w:cs="仿宋"/>
          <w:sz w:val="32"/>
          <w:szCs w:val="32"/>
        </w:rPr>
        <w:t>全方位提升信息公开受众群体以及舆论引导能力，方便群众和企业办事，提高群众满意度。2022年，政务热线全年办理</w:t>
      </w:r>
      <w:r>
        <w:rPr>
          <w:rFonts w:hint="eastAsia" w:ascii="仿宋" w:hAnsi="仿宋" w:eastAsia="仿宋" w:cs="仿宋"/>
          <w:sz w:val="32"/>
          <w:szCs w:val="32"/>
          <w:lang w:val="en-US" w:eastAsia="zh-CN"/>
        </w:rPr>
        <w:t>13</w:t>
      </w:r>
      <w:r>
        <w:rPr>
          <w:rFonts w:hint="eastAsia" w:ascii="仿宋" w:hAnsi="仿宋" w:eastAsia="仿宋" w:cs="仿宋"/>
          <w:sz w:val="32"/>
          <w:szCs w:val="32"/>
        </w:rPr>
        <w:t>件，完成率100%。</w:t>
      </w:r>
    </w:p>
    <w:p>
      <w:pPr>
        <w:pStyle w:val="4"/>
        <w:widowControl/>
        <w:spacing w:line="20" w:lineRule="atLeast"/>
        <w:rPr>
          <w:rFonts w:ascii="仿宋" w:hAnsi="仿宋" w:eastAsia="仿宋" w:cs="仿宋"/>
          <w:sz w:val="30"/>
          <w:szCs w:val="30"/>
        </w:rPr>
      </w:pPr>
      <w:r>
        <w:rPr>
          <w:rFonts w:hint="eastAsia" w:ascii="仿宋" w:hAnsi="仿宋" w:eastAsia="仿宋" w:cs="仿宋"/>
          <w:sz w:val="32"/>
          <w:szCs w:val="32"/>
        </w:rPr>
        <w:t>　　</w:t>
      </w:r>
      <w:r>
        <w:rPr>
          <w:rFonts w:hint="eastAsia" w:ascii="黑体" w:hAnsi="黑体" w:eastAsia="黑体" w:cs="黑体"/>
          <w:sz w:val="30"/>
          <w:szCs w:val="30"/>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 w:hAnsi="仿宋" w:eastAsia="仿宋" w:cs="仿宋"/>
                <w:sz w:val="24"/>
                <w:lang w:val="en-US" w:eastAsia="zh-CN"/>
              </w:rPr>
            </w:pPr>
            <w:r>
              <w:rPr>
                <w:rFonts w:hint="eastAsia" w:ascii="仿宋" w:hAnsi="仿宋" w:eastAsia="仿宋" w:cs="仿宋"/>
                <w:sz w:val="24"/>
                <w:lang w:val="en-US" w:eastAsia="zh-CN"/>
              </w:rPr>
              <w:t>18</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 w:hAnsi="仿宋" w:eastAsia="仿宋" w:cs="仿宋"/>
                <w:sz w:val="24"/>
                <w:lang w:val="en-US" w:eastAsia="zh-CN"/>
              </w:rPr>
            </w:pPr>
            <w:r>
              <w:rPr>
                <w:rFonts w:hint="eastAsia" w:ascii="仿宋" w:hAnsi="仿宋" w:eastAsia="仿宋" w:cs="仿宋"/>
                <w:sz w:val="24"/>
                <w:lang w:val="en-US" w:eastAsia="zh-CN"/>
              </w:rPr>
              <w:t>18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仿宋" w:hAnsi="仿宋" w:eastAsia="仿宋" w:cs="仿宋"/>
                <w:sz w:val="24"/>
                <w:lang w:val="en-US" w:eastAsia="zh-CN"/>
              </w:rPr>
            </w:pPr>
            <w:r>
              <w:rPr>
                <w:rFonts w:hint="eastAsia" w:ascii="仿宋" w:hAnsi="仿宋" w:eastAsia="仿宋" w:cs="仿宋"/>
                <w:sz w:val="24"/>
                <w:lang w:val="en-US" w:eastAsia="zh-CN"/>
              </w:rPr>
              <w:t>7</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仿宋" w:hAnsi="仿宋" w:eastAsia="仿宋" w:cs="仿宋"/>
                <w:sz w:val="24"/>
              </w:rPr>
            </w:pPr>
            <w:r>
              <w:rPr>
                <w:rFonts w:hint="eastAsia" w:ascii="仿宋" w:hAnsi="仿宋" w:eastAsia="仿宋" w:cs="仿宋"/>
                <w:sz w:val="24"/>
              </w:rPr>
              <w:t>0</w:t>
            </w:r>
          </w:p>
        </w:tc>
      </w:tr>
    </w:tbl>
    <w:p>
      <w:pPr>
        <w:pStyle w:val="4"/>
        <w:widowControl/>
        <w:spacing w:line="20" w:lineRule="atLeast"/>
        <w:rPr>
          <w:rFonts w:ascii="仿宋" w:hAnsi="仿宋" w:eastAsia="仿宋" w:cs="仿宋"/>
          <w:sz w:val="30"/>
          <w:szCs w:val="30"/>
        </w:rPr>
      </w:pPr>
      <w:r>
        <w:rPr>
          <w:rFonts w:hint="eastAsia" w:ascii="仿宋" w:hAnsi="仿宋" w:eastAsia="仿宋" w:cs="仿宋"/>
          <w:sz w:val="30"/>
          <w:szCs w:val="30"/>
        </w:rPr>
        <w:t>　</w:t>
      </w:r>
      <w:r>
        <w:rPr>
          <w:rFonts w:hint="eastAsia" w:ascii="黑体" w:hAnsi="黑体" w:eastAsia="黑体" w:cs="黑体"/>
          <w:sz w:val="30"/>
          <w:szCs w:val="30"/>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76"/>
        <w:gridCol w:w="632"/>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restart"/>
            <w:tcBorders>
              <w:tl2br w:val="nil"/>
              <w:tr2bl w:val="nil"/>
            </w:tcBorders>
            <w:tcMar>
              <w:left w:w="108" w:type="dxa"/>
              <w:right w:w="108" w:type="dxa"/>
            </w:tcMar>
            <w:vAlign w:val="center"/>
          </w:tcPr>
          <w:p>
            <w:pPr>
              <w:widowControl/>
              <w:jc w:val="left"/>
              <w:rPr>
                <w:rFonts w:ascii="仿宋" w:hAnsi="仿宋" w:eastAsia="仿宋" w:cs="仿宋"/>
                <w:sz w:val="24"/>
              </w:rPr>
            </w:pPr>
            <w:r>
              <w:rPr>
                <w:rFonts w:hint="eastAsia" w:ascii="仿宋" w:hAnsi="仿宋" w:eastAsia="仿宋" w:cs="仿宋"/>
                <w:kern w:val="0"/>
                <w:sz w:val="24"/>
              </w:rPr>
              <w:t>（本列数据的勾稽关系为：第一项加第二项之和，等于第三项加第四项之和）</w:t>
            </w:r>
          </w:p>
        </w:tc>
        <w:tc>
          <w:tcPr>
            <w:tcW w:w="4761" w:type="dxa"/>
            <w:gridSpan w:val="7"/>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continue"/>
            <w:tcBorders>
              <w:tl2br w:val="nil"/>
              <w:tr2bl w:val="nil"/>
            </w:tcBorders>
            <w:tcMar>
              <w:left w:w="108" w:type="dxa"/>
              <w:right w:w="108" w:type="dxa"/>
            </w:tcMar>
            <w:vAlign w:val="center"/>
          </w:tcPr>
          <w:p>
            <w:pPr>
              <w:rPr>
                <w:rFonts w:ascii="仿宋" w:hAnsi="仿宋" w:eastAsia="仿宋" w:cs="仿宋"/>
                <w:sz w:val="24"/>
              </w:rPr>
            </w:pPr>
          </w:p>
        </w:tc>
        <w:tc>
          <w:tcPr>
            <w:tcW w:w="632" w:type="dxa"/>
            <w:vMerge w:val="restart"/>
            <w:tcBorders>
              <w:tl2br w:val="nil"/>
              <w:tr2bl w:val="nil"/>
            </w:tcBorders>
            <w:tcMar>
              <w:left w:w="57" w:type="dxa"/>
              <w:right w:w="57" w:type="dxa"/>
            </w:tcMar>
            <w:vAlign w:val="center"/>
          </w:tcPr>
          <w:p>
            <w:pPr>
              <w:widowControl/>
              <w:spacing w:line="500" w:lineRule="exact"/>
              <w:jc w:val="center"/>
              <w:rPr>
                <w:rFonts w:ascii="仿宋" w:hAnsi="仿宋" w:eastAsia="仿宋" w:cs="仿宋"/>
                <w:sz w:val="24"/>
              </w:rPr>
            </w:pPr>
            <w:r>
              <w:rPr>
                <w:rFonts w:hint="eastAsia" w:ascii="仿宋" w:hAnsi="仿宋" w:eastAsia="仿宋" w:cs="仿宋"/>
                <w:kern w:val="0"/>
                <w:sz w:val="24"/>
              </w:rPr>
              <w:t>自然人</w:t>
            </w:r>
          </w:p>
        </w:tc>
        <w:tc>
          <w:tcPr>
            <w:tcW w:w="3440" w:type="dxa"/>
            <w:gridSpan w:val="5"/>
            <w:tcBorders>
              <w:tl2br w:val="nil"/>
              <w:tr2bl w:val="nil"/>
            </w:tcBorders>
            <w:tcMar>
              <w:left w:w="57" w:type="dxa"/>
              <w:right w:w="57" w:type="dxa"/>
            </w:tcMar>
            <w:vAlign w:val="center"/>
          </w:tcPr>
          <w:p>
            <w:pPr>
              <w:widowControl/>
              <w:spacing w:line="500" w:lineRule="exact"/>
              <w:jc w:val="center"/>
              <w:rPr>
                <w:rFonts w:ascii="仿宋" w:hAnsi="仿宋" w:eastAsia="仿宋" w:cs="仿宋"/>
                <w:sz w:val="24"/>
              </w:rPr>
            </w:pPr>
            <w:r>
              <w:rPr>
                <w:rFonts w:hint="eastAsia" w:ascii="仿宋" w:hAnsi="仿宋" w:eastAsia="仿宋" w:cs="仿宋"/>
                <w:kern w:val="0"/>
                <w:sz w:val="24"/>
              </w:rPr>
              <w:t>法人或其他组织</w:t>
            </w:r>
          </w:p>
        </w:tc>
        <w:tc>
          <w:tcPr>
            <w:tcW w:w="689" w:type="dxa"/>
            <w:vMerge w:val="restart"/>
            <w:tcBorders>
              <w:tl2br w:val="nil"/>
              <w:tr2bl w:val="nil"/>
            </w:tcBorders>
            <w:tcMar>
              <w:left w:w="57" w:type="dxa"/>
              <w:right w:w="57" w:type="dxa"/>
            </w:tcMar>
            <w:vAlign w:val="center"/>
          </w:tcPr>
          <w:p>
            <w:pPr>
              <w:widowControl/>
              <w:spacing w:line="500" w:lineRule="exact"/>
              <w:jc w:val="center"/>
              <w:rPr>
                <w:rFonts w:ascii="仿宋" w:hAnsi="仿宋" w:eastAsia="仿宋" w:cs="仿宋"/>
                <w:sz w:val="24"/>
              </w:rPr>
            </w:pPr>
            <w:r>
              <w:rPr>
                <w:rFonts w:hint="eastAsia" w:ascii="仿宋" w:hAnsi="仿宋" w:eastAsia="仿宋" w:cs="仿宋"/>
                <w:kern w:val="0"/>
                <w:sz w:val="24"/>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9" w:hRule="atLeast"/>
          <w:jc w:val="center"/>
        </w:trPr>
        <w:tc>
          <w:tcPr>
            <w:tcW w:w="4987" w:type="dxa"/>
            <w:gridSpan w:val="3"/>
            <w:vMerge w:val="continue"/>
            <w:tcBorders>
              <w:tl2br w:val="nil"/>
              <w:tr2bl w:val="nil"/>
            </w:tcBorders>
            <w:tcMar>
              <w:left w:w="108" w:type="dxa"/>
              <w:right w:w="108" w:type="dxa"/>
            </w:tcMar>
            <w:vAlign w:val="center"/>
          </w:tcPr>
          <w:p>
            <w:pPr>
              <w:rPr>
                <w:rFonts w:ascii="仿宋" w:hAnsi="仿宋" w:eastAsia="仿宋" w:cs="仿宋"/>
                <w:sz w:val="24"/>
              </w:rPr>
            </w:pPr>
          </w:p>
        </w:tc>
        <w:tc>
          <w:tcPr>
            <w:tcW w:w="632"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688" w:type="dxa"/>
            <w:tcBorders>
              <w:tl2br w:val="nil"/>
              <w:tr2bl w:val="nil"/>
            </w:tcBorders>
            <w:tcMar>
              <w:left w:w="57" w:type="dxa"/>
              <w:right w:w="57"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商业</w:t>
            </w:r>
          </w:p>
          <w:p>
            <w:pPr>
              <w:widowControl/>
              <w:spacing w:line="300" w:lineRule="exact"/>
              <w:jc w:val="center"/>
              <w:rPr>
                <w:rFonts w:ascii="仿宋" w:hAnsi="仿宋" w:eastAsia="仿宋" w:cs="仿宋"/>
                <w:sz w:val="24"/>
              </w:rPr>
            </w:pPr>
            <w:r>
              <w:rPr>
                <w:rFonts w:hint="eastAsia" w:ascii="仿宋" w:hAnsi="仿宋" w:eastAsia="仿宋" w:cs="仿宋"/>
                <w:kern w:val="0"/>
                <w:sz w:val="24"/>
              </w:rPr>
              <w:t>企业</w:t>
            </w:r>
          </w:p>
        </w:tc>
        <w:tc>
          <w:tcPr>
            <w:tcW w:w="688" w:type="dxa"/>
            <w:tcBorders>
              <w:tl2br w:val="nil"/>
              <w:tr2bl w:val="nil"/>
            </w:tcBorders>
            <w:tcMar>
              <w:left w:w="57" w:type="dxa"/>
              <w:right w:w="57"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科研</w:t>
            </w:r>
          </w:p>
          <w:p>
            <w:pPr>
              <w:widowControl/>
              <w:spacing w:line="300" w:lineRule="exact"/>
              <w:jc w:val="center"/>
              <w:rPr>
                <w:rFonts w:ascii="仿宋" w:hAnsi="仿宋" w:eastAsia="仿宋" w:cs="仿宋"/>
                <w:sz w:val="24"/>
              </w:rPr>
            </w:pPr>
            <w:r>
              <w:rPr>
                <w:rFonts w:hint="eastAsia" w:ascii="仿宋" w:hAnsi="仿宋" w:eastAsia="仿宋" w:cs="仿宋"/>
                <w:kern w:val="0"/>
                <w:sz w:val="24"/>
              </w:rPr>
              <w:t>机构</w:t>
            </w:r>
          </w:p>
        </w:tc>
        <w:tc>
          <w:tcPr>
            <w:tcW w:w="688" w:type="dxa"/>
            <w:tcBorders>
              <w:tl2br w:val="nil"/>
              <w:tr2bl w:val="nil"/>
            </w:tcBorders>
            <w:tcMar>
              <w:left w:w="57" w:type="dxa"/>
              <w:right w:w="57"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社会公益组织</w:t>
            </w:r>
          </w:p>
        </w:tc>
        <w:tc>
          <w:tcPr>
            <w:tcW w:w="688" w:type="dxa"/>
            <w:tcBorders>
              <w:tl2br w:val="nil"/>
              <w:tr2bl w:val="nil"/>
            </w:tcBorders>
            <w:tcMar>
              <w:left w:w="57" w:type="dxa"/>
              <w:right w:w="57"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法律服务机构</w:t>
            </w:r>
          </w:p>
        </w:tc>
        <w:tc>
          <w:tcPr>
            <w:tcW w:w="688" w:type="dxa"/>
            <w:tcBorders>
              <w:tl2br w:val="nil"/>
              <w:tr2bl w:val="nil"/>
            </w:tcBorders>
            <w:tcMar>
              <w:left w:w="57" w:type="dxa"/>
              <w:right w:w="57"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其他</w:t>
            </w:r>
          </w:p>
        </w:tc>
        <w:tc>
          <w:tcPr>
            <w:tcW w:w="689" w:type="dxa"/>
            <w:vMerge w:val="continue"/>
            <w:tcBorders>
              <w:tl2br w:val="nil"/>
              <w:tr2bl w:val="nil"/>
            </w:tcBorders>
            <w:tcMar>
              <w:left w:w="57" w:type="dxa"/>
              <w:right w:w="57" w:type="dxa"/>
            </w:tcMar>
            <w:vAlign w:val="center"/>
          </w:tcPr>
          <w:p>
            <w:pPr>
              <w:rPr>
                <w:rFonts w:ascii="仿宋" w:hAnsi="仿宋" w:eastAsia="仿宋" w:cs="仿宋"/>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一、本年新收政府信息公开申请数量</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tabs>
                <w:tab w:val="center" w:pos="347"/>
                <w:tab w:val="left" w:pos="498"/>
              </w:tabs>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二、上年结转政府信息公开申请数量</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三、本年度办理结果</w:t>
            </w:r>
          </w:p>
        </w:tc>
        <w:tc>
          <w:tcPr>
            <w:tcW w:w="4219" w:type="dxa"/>
            <w:gridSpan w:val="2"/>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（一）予以公开</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 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 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4219" w:type="dxa"/>
            <w:gridSpan w:val="2"/>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（二）部分公开（区分处理的，只计这一情形，不计其他情形）</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 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 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restart"/>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（三）不予公开</w:t>
            </w: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1.属于国家秘密</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kern w:val="0"/>
                <w:sz w:val="24"/>
              </w:rPr>
              <w:t>2.其他法律行政法规禁止公开</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3.危及“三安全一稳定”</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4.保护第三方合法权益</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5.属于三类内部事务信息</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6.属于四类过程性信息</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7.属于行政执法案卷</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8.属于行政查询事项</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restart"/>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（四）无法提供</w:t>
            </w: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1.本机关不掌握相关政府信息</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2.没有现成信息需要另行制作</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3.补正后申请内容仍不明确</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restart"/>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（五）不予处理</w:t>
            </w: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1.信访举报投诉类申请</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2.重复申请</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3.要求提供公开出版物</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4.无正当理由大量反复申请</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8"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5.要求行政机关确认或重新出具已获取信息</w:t>
            </w:r>
          </w:p>
        </w:tc>
        <w:tc>
          <w:tcPr>
            <w:tcW w:w="632"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restart"/>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（六）其他处理</w:t>
            </w: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1.申请人无正当理由逾期不补正、行政机关不再处理其政府信息公开申请</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2.申请人逾期未按收费通知要求缴纳费用、行政机关不再处理其政府信息公开申请</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943"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3276" w:type="dxa"/>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3.其他</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rPr>
                <w:rFonts w:ascii="仿宋" w:hAnsi="仿宋" w:eastAsia="仿宋" w:cs="仿宋"/>
                <w:sz w:val="24"/>
              </w:rPr>
            </w:pPr>
          </w:p>
        </w:tc>
        <w:tc>
          <w:tcPr>
            <w:tcW w:w="4219" w:type="dxa"/>
            <w:gridSpan w:val="2"/>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（七）总计</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 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tcPr>
          <w:p>
            <w:pPr>
              <w:widowControl/>
              <w:jc w:val="center"/>
              <w:rPr>
                <w:rFonts w:ascii="仿宋" w:hAnsi="仿宋" w:eastAsia="仿宋" w:cs="仿宋"/>
                <w:sz w:val="24"/>
              </w:rPr>
            </w:pPr>
            <w:r>
              <w:rPr>
                <w:rFonts w:hint="eastAsia" w:ascii="仿宋" w:hAnsi="仿宋" w:eastAsia="仿宋" w:cs="仿宋"/>
                <w:sz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widowControl/>
              <w:jc w:val="left"/>
              <w:rPr>
                <w:rFonts w:ascii="仿宋" w:hAnsi="仿宋" w:eastAsia="仿宋" w:cs="仿宋"/>
                <w:sz w:val="24"/>
              </w:rPr>
            </w:pPr>
            <w:r>
              <w:rPr>
                <w:rFonts w:hint="eastAsia" w:ascii="仿宋" w:hAnsi="仿宋" w:eastAsia="仿宋" w:cs="仿宋"/>
                <w:kern w:val="0"/>
                <w:sz w:val="24"/>
              </w:rPr>
              <w:t>四、结转下年度继续办理</w:t>
            </w:r>
          </w:p>
        </w:tc>
        <w:tc>
          <w:tcPr>
            <w:tcW w:w="632"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8"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c>
          <w:tcPr>
            <w:tcW w:w="689" w:type="dxa"/>
            <w:tcBorders>
              <w:tl2br w:val="nil"/>
              <w:tr2bl w:val="nil"/>
            </w:tcBorders>
            <w:tcMar>
              <w:left w:w="57" w:type="dxa"/>
              <w:right w:w="57" w:type="dxa"/>
            </w:tcMar>
            <w:vAlign w:val="center"/>
          </w:tcPr>
          <w:p>
            <w:pPr>
              <w:widowControl/>
              <w:jc w:val="center"/>
              <w:rPr>
                <w:rFonts w:ascii="仿宋" w:hAnsi="仿宋" w:eastAsia="仿宋" w:cs="仿宋"/>
                <w:sz w:val="24"/>
              </w:rPr>
            </w:pPr>
            <w:r>
              <w:rPr>
                <w:rFonts w:hint="eastAsia" w:ascii="仿宋" w:hAnsi="仿宋" w:eastAsia="仿宋" w:cs="仿宋"/>
                <w:sz w:val="24"/>
              </w:rPr>
              <w:t>0</w:t>
            </w:r>
          </w:p>
        </w:tc>
      </w:tr>
    </w:tbl>
    <w:p>
      <w:pPr>
        <w:pStyle w:val="4"/>
        <w:widowControl/>
        <w:spacing w:line="20" w:lineRule="atLeast"/>
        <w:rPr>
          <w:rFonts w:ascii="仿宋" w:hAnsi="仿宋" w:eastAsia="仿宋" w:cs="仿宋"/>
          <w:sz w:val="30"/>
          <w:szCs w:val="30"/>
        </w:rPr>
      </w:pPr>
      <w:r>
        <w:rPr>
          <w:rFonts w:hint="eastAsia" w:ascii="仿宋" w:hAnsi="仿宋" w:eastAsia="仿宋" w:cs="仿宋"/>
          <w:sz w:val="30"/>
          <w:szCs w:val="30"/>
        </w:rPr>
        <w:t>　　</w:t>
      </w:r>
      <w:r>
        <w:rPr>
          <w:rFonts w:hint="eastAsia" w:ascii="黑体" w:hAnsi="黑体" w:eastAsia="黑体" w:cs="黑体"/>
          <w:sz w:val="30"/>
          <w:szCs w:val="30"/>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49"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结果</w:t>
            </w:r>
          </w:p>
          <w:p>
            <w:pPr>
              <w:widowControl/>
              <w:spacing w:line="300" w:lineRule="exact"/>
              <w:jc w:val="center"/>
              <w:rPr>
                <w:rFonts w:ascii="仿宋" w:hAnsi="仿宋" w:eastAsia="仿宋" w:cs="仿宋"/>
                <w:sz w:val="24"/>
              </w:rPr>
            </w:pPr>
            <w:r>
              <w:rPr>
                <w:rFonts w:hint="eastAsia" w:ascii="仿宋" w:hAnsi="仿宋" w:eastAsia="仿宋" w:cs="仿宋"/>
                <w:kern w:val="0"/>
                <w:sz w:val="24"/>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其他</w:t>
            </w:r>
          </w:p>
          <w:p>
            <w:pPr>
              <w:widowControl/>
              <w:spacing w:line="300" w:lineRule="exact"/>
              <w:jc w:val="center"/>
              <w:rPr>
                <w:rFonts w:ascii="仿宋" w:hAnsi="仿宋" w:eastAsia="仿宋" w:cs="仿宋"/>
                <w:sz w:val="24"/>
              </w:rPr>
            </w:pPr>
            <w:r>
              <w:rPr>
                <w:rFonts w:hint="eastAsia" w:ascii="仿宋" w:hAnsi="仿宋" w:eastAsia="仿宋" w:cs="仿宋"/>
                <w:kern w:val="0"/>
                <w:sz w:val="24"/>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尚未</w:t>
            </w:r>
          </w:p>
          <w:p>
            <w:pPr>
              <w:widowControl/>
              <w:spacing w:line="300" w:lineRule="exact"/>
              <w:jc w:val="center"/>
              <w:rPr>
                <w:rFonts w:ascii="仿宋" w:hAnsi="仿宋" w:eastAsia="仿宋" w:cs="仿宋"/>
                <w:sz w:val="24"/>
              </w:rPr>
            </w:pPr>
            <w:r>
              <w:rPr>
                <w:rFonts w:hint="eastAsia" w:ascii="仿宋" w:hAnsi="仿宋" w:eastAsia="仿宋" w:cs="仿宋"/>
                <w:kern w:val="0"/>
                <w:sz w:val="24"/>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rPr>
                <w:rFonts w:ascii="仿宋" w:hAnsi="仿宋" w:eastAsia="仿宋" w:cs="仿宋"/>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rPr>
                <w:rFonts w:ascii="仿宋" w:hAnsi="仿宋" w:eastAsia="仿宋" w:cs="仿宋"/>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rPr>
                <w:rFonts w:ascii="仿宋" w:hAnsi="仿宋" w:eastAsia="仿宋" w:cs="仿宋"/>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rPr>
                <w:rFonts w:ascii="仿宋" w:hAnsi="仿宋" w:eastAsia="仿宋" w:cs="仿宋"/>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rPr>
                <w:rFonts w:ascii="仿宋" w:hAnsi="仿宋" w:eastAsia="仿宋" w:cs="仿宋"/>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结果</w:t>
            </w:r>
          </w:p>
          <w:p>
            <w:pPr>
              <w:widowControl/>
              <w:spacing w:line="300" w:lineRule="exact"/>
              <w:jc w:val="center"/>
              <w:rPr>
                <w:rFonts w:ascii="仿宋" w:hAnsi="仿宋" w:eastAsia="仿宋" w:cs="仿宋"/>
                <w:sz w:val="24"/>
              </w:rPr>
            </w:pPr>
            <w:r>
              <w:rPr>
                <w:rFonts w:hint="eastAsia" w:ascii="仿宋" w:hAnsi="仿宋" w:eastAsia="仿宋" w:cs="仿宋"/>
                <w:kern w:val="0"/>
                <w:sz w:val="24"/>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结果</w:t>
            </w:r>
          </w:p>
          <w:p>
            <w:pPr>
              <w:widowControl/>
              <w:spacing w:line="300" w:lineRule="exact"/>
              <w:jc w:val="center"/>
              <w:rPr>
                <w:rFonts w:ascii="仿宋" w:hAnsi="仿宋" w:eastAsia="仿宋" w:cs="仿宋"/>
                <w:sz w:val="24"/>
              </w:rPr>
            </w:pPr>
            <w:r>
              <w:rPr>
                <w:rFonts w:hint="eastAsia" w:ascii="仿宋" w:hAnsi="仿宋" w:eastAsia="仿宋" w:cs="仿宋"/>
                <w:kern w:val="0"/>
                <w:sz w:val="24"/>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其他</w:t>
            </w:r>
          </w:p>
          <w:p>
            <w:pPr>
              <w:widowControl/>
              <w:spacing w:line="300" w:lineRule="exact"/>
              <w:jc w:val="center"/>
              <w:rPr>
                <w:rFonts w:ascii="仿宋" w:hAnsi="仿宋" w:eastAsia="仿宋" w:cs="仿宋"/>
                <w:sz w:val="24"/>
              </w:rPr>
            </w:pPr>
            <w:r>
              <w:rPr>
                <w:rFonts w:hint="eastAsia" w:ascii="仿宋" w:hAnsi="仿宋" w:eastAsia="仿宋" w:cs="仿宋"/>
                <w:kern w:val="0"/>
                <w:sz w:val="24"/>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尚未</w:t>
            </w:r>
          </w:p>
          <w:p>
            <w:pPr>
              <w:widowControl/>
              <w:spacing w:line="300" w:lineRule="exact"/>
              <w:jc w:val="center"/>
              <w:rPr>
                <w:rFonts w:ascii="仿宋" w:hAnsi="仿宋" w:eastAsia="仿宋" w:cs="仿宋"/>
                <w:sz w:val="24"/>
              </w:rPr>
            </w:pPr>
            <w:r>
              <w:rPr>
                <w:rFonts w:hint="eastAsia" w:ascii="仿宋" w:hAnsi="仿宋" w:eastAsia="仿宋" w:cs="仿宋"/>
                <w:kern w:val="0"/>
                <w:sz w:val="24"/>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结果</w:t>
            </w:r>
          </w:p>
          <w:p>
            <w:pPr>
              <w:widowControl/>
              <w:spacing w:line="300" w:lineRule="exact"/>
              <w:jc w:val="center"/>
              <w:rPr>
                <w:rFonts w:ascii="仿宋" w:hAnsi="仿宋" w:eastAsia="仿宋" w:cs="仿宋"/>
                <w:sz w:val="24"/>
              </w:rPr>
            </w:pPr>
            <w:r>
              <w:rPr>
                <w:rFonts w:hint="eastAsia" w:ascii="仿宋" w:hAnsi="仿宋" w:eastAsia="仿宋" w:cs="仿宋"/>
                <w:kern w:val="0"/>
                <w:sz w:val="24"/>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结果</w:t>
            </w:r>
          </w:p>
          <w:p>
            <w:pPr>
              <w:widowControl/>
              <w:spacing w:line="300" w:lineRule="exact"/>
              <w:jc w:val="center"/>
              <w:rPr>
                <w:rFonts w:ascii="仿宋" w:hAnsi="仿宋" w:eastAsia="仿宋" w:cs="仿宋"/>
                <w:sz w:val="24"/>
              </w:rPr>
            </w:pPr>
            <w:r>
              <w:rPr>
                <w:rFonts w:hint="eastAsia" w:ascii="仿宋" w:hAnsi="仿宋" w:eastAsia="仿宋" w:cs="仿宋"/>
                <w:kern w:val="0"/>
                <w:sz w:val="24"/>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其他</w:t>
            </w:r>
          </w:p>
          <w:p>
            <w:pPr>
              <w:widowControl/>
              <w:spacing w:line="300" w:lineRule="exact"/>
              <w:jc w:val="center"/>
              <w:rPr>
                <w:rFonts w:ascii="仿宋" w:hAnsi="仿宋" w:eastAsia="仿宋" w:cs="仿宋"/>
                <w:sz w:val="24"/>
              </w:rPr>
            </w:pPr>
            <w:r>
              <w:rPr>
                <w:rFonts w:hint="eastAsia" w:ascii="仿宋" w:hAnsi="仿宋" w:eastAsia="仿宋" w:cs="仿宋"/>
                <w:kern w:val="0"/>
                <w:sz w:val="24"/>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尚未</w:t>
            </w:r>
          </w:p>
          <w:p>
            <w:pPr>
              <w:widowControl/>
              <w:spacing w:line="300" w:lineRule="exact"/>
              <w:jc w:val="center"/>
              <w:rPr>
                <w:rFonts w:ascii="仿宋" w:hAnsi="仿宋" w:eastAsia="仿宋" w:cs="仿宋"/>
                <w:sz w:val="24"/>
              </w:rPr>
            </w:pPr>
            <w:r>
              <w:rPr>
                <w:rFonts w:hint="eastAsia" w:ascii="仿宋" w:hAnsi="仿宋" w:eastAsia="仿宋" w:cs="仿宋"/>
                <w:kern w:val="0"/>
                <w:sz w:val="24"/>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sz w:val="24"/>
              </w:rPr>
            </w:pPr>
            <w:r>
              <w:rPr>
                <w:rFonts w:hint="eastAsia" w:ascii="仿宋" w:hAnsi="仿宋" w:eastAsia="仿宋" w:cs="仿宋"/>
                <w:kern w:val="0"/>
                <w:sz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00" w:lineRule="exact"/>
              <w:jc w:val="center"/>
              <w:rPr>
                <w:rFonts w:ascii="仿宋" w:hAnsi="仿宋" w:eastAsia="仿宋" w:cs="仿宋"/>
                <w:kern w:val="0"/>
                <w:sz w:val="24"/>
              </w:rPr>
            </w:pPr>
            <w:r>
              <w:rPr>
                <w:rFonts w:hint="eastAsia" w:ascii="仿宋" w:hAnsi="仿宋" w:eastAsia="仿宋" w:cs="仿宋"/>
                <w:kern w:val="0"/>
                <w:sz w:val="24"/>
              </w:rPr>
              <w:t>0</w:t>
            </w:r>
          </w:p>
        </w:tc>
      </w:tr>
    </w:tbl>
    <w:p>
      <w:pPr>
        <w:pStyle w:val="4"/>
        <w:widowControl/>
        <w:spacing w:line="20" w:lineRule="atLeast"/>
        <w:rPr>
          <w:rFonts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五、政府信息公开工作存在的主要问题及改进情况</w:t>
      </w:r>
    </w:p>
    <w:p>
      <w:pPr>
        <w:pStyle w:val="4"/>
        <w:widowControl/>
        <w:spacing w:line="20" w:lineRule="atLeast"/>
        <w:rPr>
          <w:rFonts w:ascii="仿宋" w:hAnsi="仿宋" w:eastAsia="仿宋" w:cs="仿宋"/>
          <w:sz w:val="32"/>
          <w:szCs w:val="32"/>
        </w:rPr>
      </w:pPr>
      <w:r>
        <w:rPr>
          <w:rFonts w:hint="eastAsia" w:ascii="仿宋" w:hAnsi="仿宋" w:eastAsia="仿宋" w:cs="仿宋"/>
          <w:sz w:val="32"/>
          <w:szCs w:val="32"/>
        </w:rPr>
        <w:t>　　我单位2022年政府信息公开工作存在的问题主要表现为主动公开政府文件不及时，相关联的政策解读比例较低，文件解读的内容不够多样化等。</w:t>
      </w:r>
    </w:p>
    <w:p>
      <w:pPr>
        <w:pStyle w:val="4"/>
        <w:widowControl/>
        <w:shd w:val="clear" w:color="auto" w:fill="FFFFFF"/>
        <w:spacing w:line="600" w:lineRule="exact"/>
        <w:ind w:firstLine="600" w:firstLineChars="200"/>
        <w:jc w:val="both"/>
        <w:rPr>
          <w:rFonts w:ascii="仿宋" w:hAnsi="仿宋" w:eastAsia="仿宋" w:cs="仿宋"/>
          <w:sz w:val="30"/>
          <w:szCs w:val="30"/>
          <w:shd w:val="clear" w:color="auto" w:fill="FFFFFF"/>
        </w:rPr>
      </w:pPr>
      <w:r>
        <w:rPr>
          <w:rFonts w:hint="eastAsia" w:ascii="仿宋" w:hAnsi="仿宋" w:eastAsia="仿宋" w:cs="仿宋"/>
          <w:sz w:val="30"/>
          <w:szCs w:val="30"/>
          <w:shd w:val="clear" w:color="auto" w:fill="FFFFFF"/>
        </w:rPr>
        <w:t>下一步，我单位将继续严格按照政府信息公开、政务公开的各项要求和目标，依托统一的县政府门户网站，不断完善政府信息公开的内容，提升信息公开的及时性。加强宣传教育，进一步增强干部职工做好信息公开工作的责任感和使命感；加强督促指导，健全信息公开工作制度，进一步规范信息公开行为和具体公开内容；加强信息保密审查，安排专人负责信息公开工作，在公开信息前进行信息公开保密审查，确保信息公开的真实、安全。</w:t>
      </w:r>
    </w:p>
    <w:p>
      <w:pPr>
        <w:pStyle w:val="4"/>
        <w:widowControl/>
        <w:shd w:val="clear" w:color="auto" w:fill="FFFFFF"/>
        <w:spacing w:line="600" w:lineRule="exact"/>
        <w:ind w:firstLine="600" w:firstLineChars="200"/>
        <w:jc w:val="both"/>
        <w:rPr>
          <w:rFonts w:hint="eastAsia" w:ascii="仿宋" w:hAnsi="仿宋" w:eastAsia="仿宋" w:cs="仿宋"/>
          <w:sz w:val="30"/>
          <w:szCs w:val="30"/>
          <w:shd w:val="clear" w:color="auto" w:fill="FFFFFF"/>
        </w:rPr>
      </w:pPr>
    </w:p>
    <w:p>
      <w:pPr>
        <w:pStyle w:val="4"/>
        <w:widowControl/>
        <w:spacing w:line="20" w:lineRule="atLeast"/>
        <w:jc w:val="both"/>
        <w:rPr>
          <w:rFonts w:ascii="仿宋" w:hAnsi="仿宋" w:eastAsia="仿宋" w:cs="仿宋"/>
          <w:sz w:val="32"/>
          <w:szCs w:val="32"/>
        </w:rPr>
      </w:pPr>
    </w:p>
    <w:p>
      <w:pPr>
        <w:pStyle w:val="4"/>
        <w:widowControl/>
        <w:spacing w:line="20" w:lineRule="atLeast"/>
        <w:ind w:firstLine="4480" w:firstLineChars="1400"/>
        <w:jc w:val="both"/>
        <w:rPr>
          <w:rFonts w:ascii="仿宋" w:hAnsi="仿宋" w:eastAsia="仿宋" w:cs="仿宋"/>
          <w:sz w:val="32"/>
          <w:szCs w:val="32"/>
        </w:rPr>
      </w:pPr>
      <w:r>
        <w:rPr>
          <w:rFonts w:hint="eastAsia" w:ascii="仿宋" w:hAnsi="仿宋" w:eastAsia="仿宋" w:cs="仿宋"/>
          <w:sz w:val="32"/>
          <w:szCs w:val="32"/>
        </w:rPr>
        <w:t>岢岚县自然资源局</w:t>
      </w:r>
    </w:p>
    <w:p>
      <w:pPr>
        <w:pStyle w:val="4"/>
        <w:widowControl/>
        <w:spacing w:line="20" w:lineRule="atLeast"/>
        <w:ind w:firstLine="4480" w:firstLineChars="1400"/>
        <w:jc w:val="both"/>
        <w:rPr>
          <w:rFonts w:ascii="仿宋" w:hAnsi="仿宋" w:eastAsia="仿宋" w:cs="仿宋"/>
          <w:sz w:val="32"/>
          <w:szCs w:val="32"/>
        </w:rPr>
      </w:pPr>
      <w:r>
        <w:rPr>
          <w:rFonts w:hint="eastAsia" w:ascii="仿宋" w:hAnsi="仿宋" w:eastAsia="仿宋" w:cs="仿宋"/>
          <w:sz w:val="32"/>
          <w:szCs w:val="32"/>
        </w:rPr>
        <w:t>2023年1月16日</w:t>
      </w:r>
    </w:p>
    <w:p>
      <w:pPr>
        <w:pStyle w:val="4"/>
        <w:widowControl/>
        <w:spacing w:line="20" w:lineRule="atLeast"/>
        <w:jc w:val="both"/>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ZTJiYTQxOTQ2YzVmNjE3MmI5N2M5Mzg0YTdhMWUifQ=="/>
  </w:docVars>
  <w:rsids>
    <w:rsidRoot w:val="00895E82"/>
    <w:rsid w:val="00180189"/>
    <w:rsid w:val="001D562F"/>
    <w:rsid w:val="002041A5"/>
    <w:rsid w:val="002049AC"/>
    <w:rsid w:val="00367D8C"/>
    <w:rsid w:val="00383A3B"/>
    <w:rsid w:val="004B4359"/>
    <w:rsid w:val="00582580"/>
    <w:rsid w:val="006B780D"/>
    <w:rsid w:val="006F3D38"/>
    <w:rsid w:val="00761311"/>
    <w:rsid w:val="007B2664"/>
    <w:rsid w:val="00895E82"/>
    <w:rsid w:val="00913740"/>
    <w:rsid w:val="009773EE"/>
    <w:rsid w:val="00A23FC1"/>
    <w:rsid w:val="00A27386"/>
    <w:rsid w:val="00B71474"/>
    <w:rsid w:val="00BA3D23"/>
    <w:rsid w:val="00CA2125"/>
    <w:rsid w:val="00D53147"/>
    <w:rsid w:val="00D543CF"/>
    <w:rsid w:val="00F156B5"/>
    <w:rsid w:val="080077B7"/>
    <w:rsid w:val="10910DF1"/>
    <w:rsid w:val="121D1E44"/>
    <w:rsid w:val="1651030E"/>
    <w:rsid w:val="183D49D4"/>
    <w:rsid w:val="1AE2749C"/>
    <w:rsid w:val="1C073948"/>
    <w:rsid w:val="1EAF3CC2"/>
    <w:rsid w:val="224D2894"/>
    <w:rsid w:val="23CD253E"/>
    <w:rsid w:val="26FF2F64"/>
    <w:rsid w:val="270C0791"/>
    <w:rsid w:val="2F9C3B4F"/>
    <w:rsid w:val="32C14E02"/>
    <w:rsid w:val="3304641E"/>
    <w:rsid w:val="38C92EA6"/>
    <w:rsid w:val="3E0B0127"/>
    <w:rsid w:val="3E183576"/>
    <w:rsid w:val="3EF21DDE"/>
    <w:rsid w:val="3F7869B6"/>
    <w:rsid w:val="402C46D0"/>
    <w:rsid w:val="4B4439C2"/>
    <w:rsid w:val="4CFA58E8"/>
    <w:rsid w:val="4D365240"/>
    <w:rsid w:val="4F706A1A"/>
    <w:rsid w:val="50182A3D"/>
    <w:rsid w:val="52A511EA"/>
    <w:rsid w:val="5BC14BBB"/>
    <w:rsid w:val="5C45759A"/>
    <w:rsid w:val="5C8400C2"/>
    <w:rsid w:val="5DC8248E"/>
    <w:rsid w:val="60D91AFA"/>
    <w:rsid w:val="629F32EE"/>
    <w:rsid w:val="659A7441"/>
    <w:rsid w:val="6B1837B3"/>
    <w:rsid w:val="6E051E09"/>
    <w:rsid w:val="6F0E7CBF"/>
    <w:rsid w:val="6F5A2F04"/>
    <w:rsid w:val="6FB01145"/>
    <w:rsid w:val="70096E04"/>
    <w:rsid w:val="747340A2"/>
    <w:rsid w:val="766617FE"/>
    <w:rsid w:val="798A0FE9"/>
    <w:rsid w:val="7D0554B2"/>
    <w:rsid w:val="7DC10D1E"/>
    <w:rsid w:val="7FB4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2132</Words>
  <Characters>2206</Characters>
  <Lines>18</Lines>
  <Paragraphs>5</Paragraphs>
  <TotalTime>49</TotalTime>
  <ScaleCrop>false</ScaleCrop>
  <LinksUpToDate>false</LinksUpToDate>
  <CharactersWithSpaces>2238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2023-01-25T02:34:00Z</dcterms:created>
  <dc:creator>Y</dc:creator>
  <cp:lastModifiedBy>Administrator</cp:lastModifiedBy>
  <cp:lastPrinted>2022-01-18T08:44:00Z</cp:lastPrinted>
  <dcterms:modified xsi:type="dcterms:W3CDTF">2023-01-28T07:58:16Z</dcterms:modified>
  <dc:title>静乐县2021年政府信息公开年度报告</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F55A61D2E4D5427DB857E61EBE387E63</vt:lpwstr>
  </property>
</Properties>
</file>